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24"/>
        </w:rPr>
      </w:pPr>
      <w:r>
        <w:rPr>
          <w:rFonts w:hint="eastAsia"/>
          <w:sz w:val="24"/>
        </w:rPr>
        <w:t>附件3</w:t>
      </w:r>
    </w:p>
    <w:p>
      <w:pPr>
        <w:pStyle w:val="2"/>
        <w:tabs>
          <w:tab w:val="left" w:pos="8295"/>
        </w:tabs>
        <w:spacing w:after="0"/>
        <w:ind w:left="0" w:leftChars="0"/>
        <w:jc w:val="center"/>
        <w:rPr>
          <w:rFonts w:ascii="宋体" w:hAnsi="宋体" w:cs="宋体"/>
          <w:b/>
          <w:bCs/>
          <w:sz w:val="28"/>
          <w:szCs w:val="36"/>
        </w:rPr>
      </w:pPr>
      <w:r>
        <w:rPr>
          <w:rFonts w:hint="eastAsia" w:ascii="宋体" w:hAnsi="宋体" w:cs="宋体"/>
          <w:b/>
          <w:bCs/>
          <w:sz w:val="28"/>
          <w:szCs w:val="36"/>
        </w:rPr>
        <w:t>制药工程专业****级毕业要求达成问卷统计表</w:t>
      </w:r>
    </w:p>
    <w:p>
      <w:pPr>
        <w:pStyle w:val="2"/>
        <w:tabs>
          <w:tab w:val="left" w:pos="8295"/>
        </w:tabs>
        <w:spacing w:after="0"/>
        <w:ind w:left="0" w:leftChars="0"/>
        <w:jc w:val="center"/>
        <w:rPr>
          <w:b/>
          <w:sz w:val="18"/>
          <w:szCs w:val="21"/>
        </w:rPr>
      </w:pPr>
      <w:r>
        <w:rPr>
          <w:rFonts w:hint="eastAsia" w:ascii="宋体" w:hAnsi="宋体" w:cs="宋体"/>
          <w:sz w:val="22"/>
          <w:szCs w:val="28"/>
        </w:rPr>
        <w:t>应届毕业生班级：    学生答题份数:   调查时间：20  年   月  日</w:t>
      </w:r>
    </w:p>
    <w:p>
      <w:pPr>
        <w:pStyle w:val="2"/>
        <w:tabs>
          <w:tab w:val="left" w:pos="8295"/>
        </w:tabs>
        <w:spacing w:beforeLines="50" w:after="0"/>
        <w:ind w:left="0" w:leftChars="0"/>
        <w:jc w:val="center"/>
        <w:rPr>
          <w:b/>
          <w:sz w:val="21"/>
          <w:szCs w:val="21"/>
        </w:rPr>
      </w:pPr>
      <w:bookmarkStart w:id="0" w:name="_GoBack"/>
      <w:bookmarkEnd w:id="0"/>
      <w:r>
        <w:rPr>
          <w:b/>
          <w:sz w:val="21"/>
          <w:szCs w:val="21"/>
        </w:rPr>
        <w:t xml:space="preserve">表4.1-6 </w:t>
      </w:r>
      <w:r>
        <w:rPr>
          <w:rFonts w:eastAsiaTheme="minorEastAsia"/>
          <w:b/>
          <w:sz w:val="21"/>
          <w:szCs w:val="21"/>
        </w:rPr>
        <w:t>201</w:t>
      </w:r>
      <w:r>
        <w:rPr>
          <w:rFonts w:hint="eastAsia" w:eastAsiaTheme="minorEastAsia"/>
          <w:b/>
          <w:sz w:val="21"/>
          <w:szCs w:val="21"/>
        </w:rPr>
        <w:t>9</w:t>
      </w:r>
      <w:r>
        <w:rPr>
          <w:rFonts w:eastAsiaTheme="minorEastAsia"/>
          <w:b/>
          <w:sz w:val="21"/>
          <w:szCs w:val="21"/>
        </w:rPr>
        <w:t>届制药工程专业</w:t>
      </w:r>
      <w:r>
        <w:rPr>
          <w:b/>
          <w:sz w:val="21"/>
          <w:szCs w:val="21"/>
        </w:rPr>
        <w:t>毕业生自我评价调查结果</w:t>
      </w:r>
    </w:p>
    <w:tbl>
      <w:tblPr>
        <w:tblStyle w:val="4"/>
        <w:tblW w:w="9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6"/>
        <w:gridCol w:w="567"/>
        <w:gridCol w:w="567"/>
        <w:gridCol w:w="567"/>
        <w:gridCol w:w="567"/>
        <w:gridCol w:w="567"/>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096" w:type="dxa"/>
            <w:shd w:val="clear" w:color="auto" w:fill="F1F1F1" w:themeFill="background1" w:themeFillShade="F2"/>
            <w:vAlign w:val="center"/>
          </w:tcPr>
          <w:p>
            <w:pPr>
              <w:jc w:val="center"/>
              <w:rPr>
                <w:rFonts w:eastAsia="宋体"/>
                <w:szCs w:val="21"/>
              </w:rPr>
            </w:pPr>
            <w:r>
              <w:rPr>
                <w:rFonts w:eastAsia="宋体"/>
                <w:szCs w:val="21"/>
              </w:rPr>
              <w:t>毕业要求</w:t>
            </w:r>
          </w:p>
        </w:tc>
        <w:tc>
          <w:tcPr>
            <w:tcW w:w="2835" w:type="dxa"/>
            <w:gridSpan w:val="5"/>
            <w:shd w:val="clear" w:color="auto" w:fill="F1F1F1" w:themeFill="background1" w:themeFillShade="F2"/>
            <w:vAlign w:val="center"/>
          </w:tcPr>
          <w:p>
            <w:pPr>
              <w:jc w:val="center"/>
              <w:rPr>
                <w:rFonts w:eastAsia="宋体"/>
                <w:szCs w:val="21"/>
              </w:rPr>
            </w:pPr>
            <w:r>
              <w:rPr>
                <w:rFonts w:eastAsia="宋体"/>
                <w:szCs w:val="21"/>
              </w:rPr>
              <w:t>自我评价统计结果</w:t>
            </w:r>
          </w:p>
        </w:tc>
        <w:tc>
          <w:tcPr>
            <w:tcW w:w="881" w:type="dxa"/>
            <w:vMerge w:val="restart"/>
            <w:shd w:val="clear" w:color="auto" w:fill="F1F1F1" w:themeFill="background1" w:themeFillShade="F2"/>
          </w:tcPr>
          <w:p>
            <w:pPr>
              <w:jc w:val="center"/>
              <w:rPr>
                <w:rFonts w:eastAsia="宋体"/>
                <w:szCs w:val="21"/>
              </w:rPr>
            </w:pPr>
            <w:r>
              <w:rPr>
                <w:rFonts w:eastAsia="宋体"/>
                <w:szCs w:val="21"/>
              </w:rPr>
              <w:t>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6096" w:type="dxa"/>
          </w:tcPr>
          <w:p>
            <w:pPr>
              <w:rPr>
                <w:rStyle w:val="6"/>
                <w:rFonts w:eastAsia="宋体"/>
                <w:b/>
                <w:szCs w:val="21"/>
              </w:rPr>
            </w:pPr>
            <w:r>
              <w:rPr>
                <w:rStyle w:val="6"/>
                <w:rFonts w:eastAsia="宋体"/>
                <w:b/>
                <w:szCs w:val="21"/>
              </w:rPr>
              <w:t>A 为完全达到毕业要求的核心能力；B 为达到毕业要求的核心能力；</w:t>
            </w:r>
          </w:p>
          <w:p>
            <w:pPr>
              <w:rPr>
                <w:rStyle w:val="6"/>
                <w:rFonts w:eastAsia="宋体"/>
                <w:b/>
                <w:szCs w:val="21"/>
              </w:rPr>
            </w:pPr>
            <w:r>
              <w:rPr>
                <w:rStyle w:val="6"/>
                <w:rFonts w:eastAsia="宋体"/>
                <w:b/>
                <w:szCs w:val="21"/>
              </w:rPr>
              <w:t>C 为基本达到毕业要求的核心能力；D 为未达到毕业要求的核心能力；</w:t>
            </w:r>
          </w:p>
          <w:p>
            <w:pPr>
              <w:rPr>
                <w:rFonts w:eastAsia="宋体"/>
                <w:szCs w:val="21"/>
              </w:rPr>
            </w:pPr>
            <w:r>
              <w:rPr>
                <w:rStyle w:val="6"/>
                <w:rFonts w:eastAsia="宋体"/>
                <w:b/>
                <w:szCs w:val="21"/>
              </w:rPr>
              <w:t>E 为差距很大</w:t>
            </w:r>
          </w:p>
        </w:tc>
        <w:tc>
          <w:tcPr>
            <w:tcW w:w="567" w:type="dxa"/>
            <w:vAlign w:val="center"/>
          </w:tcPr>
          <w:p>
            <w:pPr>
              <w:jc w:val="center"/>
              <w:rPr>
                <w:rFonts w:eastAsia="宋体"/>
                <w:sz w:val="18"/>
                <w:szCs w:val="21"/>
              </w:rPr>
            </w:pPr>
            <w:r>
              <w:rPr>
                <w:rFonts w:eastAsia="宋体"/>
                <w:sz w:val="18"/>
                <w:szCs w:val="21"/>
              </w:rPr>
              <w:t>A</w:t>
            </w:r>
          </w:p>
        </w:tc>
        <w:tc>
          <w:tcPr>
            <w:tcW w:w="567" w:type="dxa"/>
            <w:vAlign w:val="center"/>
          </w:tcPr>
          <w:p>
            <w:pPr>
              <w:jc w:val="center"/>
              <w:rPr>
                <w:rFonts w:eastAsia="宋体"/>
                <w:sz w:val="18"/>
                <w:szCs w:val="21"/>
              </w:rPr>
            </w:pPr>
            <w:r>
              <w:rPr>
                <w:rFonts w:eastAsia="宋体"/>
                <w:sz w:val="18"/>
                <w:szCs w:val="21"/>
              </w:rPr>
              <w:t>B</w:t>
            </w:r>
          </w:p>
        </w:tc>
        <w:tc>
          <w:tcPr>
            <w:tcW w:w="567" w:type="dxa"/>
            <w:vAlign w:val="center"/>
          </w:tcPr>
          <w:p>
            <w:pPr>
              <w:jc w:val="center"/>
              <w:rPr>
                <w:rFonts w:eastAsia="宋体"/>
                <w:sz w:val="18"/>
                <w:szCs w:val="21"/>
              </w:rPr>
            </w:pPr>
            <w:r>
              <w:rPr>
                <w:rFonts w:eastAsia="宋体"/>
                <w:sz w:val="18"/>
                <w:szCs w:val="21"/>
              </w:rPr>
              <w:t>C</w:t>
            </w:r>
          </w:p>
        </w:tc>
        <w:tc>
          <w:tcPr>
            <w:tcW w:w="567" w:type="dxa"/>
            <w:vAlign w:val="center"/>
          </w:tcPr>
          <w:p>
            <w:pPr>
              <w:jc w:val="center"/>
              <w:rPr>
                <w:rFonts w:eastAsia="宋体"/>
                <w:sz w:val="18"/>
                <w:szCs w:val="21"/>
              </w:rPr>
            </w:pPr>
            <w:r>
              <w:rPr>
                <w:rFonts w:eastAsia="宋体"/>
                <w:sz w:val="18"/>
                <w:szCs w:val="21"/>
              </w:rPr>
              <w:t>D</w:t>
            </w:r>
          </w:p>
        </w:tc>
        <w:tc>
          <w:tcPr>
            <w:tcW w:w="567" w:type="dxa"/>
            <w:vAlign w:val="center"/>
          </w:tcPr>
          <w:p>
            <w:pPr>
              <w:jc w:val="center"/>
              <w:rPr>
                <w:rFonts w:eastAsia="宋体"/>
                <w:sz w:val="18"/>
                <w:szCs w:val="21"/>
              </w:rPr>
            </w:pPr>
            <w:r>
              <w:rPr>
                <w:rFonts w:eastAsia="宋体"/>
                <w:sz w:val="18"/>
                <w:szCs w:val="21"/>
              </w:rPr>
              <w:t>E</w:t>
            </w:r>
          </w:p>
        </w:tc>
        <w:tc>
          <w:tcPr>
            <w:tcW w:w="881" w:type="dxa"/>
            <w:vMerge w:val="continue"/>
          </w:tcPr>
          <w:p>
            <w:pPr>
              <w:jc w:val="center"/>
              <w:rPr>
                <w:rFonts w:eastAsia="宋体"/>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096" w:type="dxa"/>
          </w:tcPr>
          <w:p>
            <w:pPr>
              <w:rPr>
                <w:rFonts w:eastAsia="宋体"/>
                <w:szCs w:val="21"/>
              </w:rPr>
            </w:pPr>
            <w:r>
              <w:rPr>
                <w:rStyle w:val="6"/>
                <w:rFonts w:eastAsia="宋体"/>
                <w:szCs w:val="21"/>
              </w:rPr>
              <w:t>1、能够运用数理、基础化学、工程基础和制药工程专业知识，对复杂制药工程问题进行表述、推演及求解。</w:t>
            </w: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881" w:type="dxa"/>
            <w:vAlign w:val="center"/>
          </w:tcPr>
          <w:p>
            <w:pPr>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6096" w:type="dxa"/>
            <w:vAlign w:val="center"/>
          </w:tcPr>
          <w:p>
            <w:pPr>
              <w:rPr>
                <w:rStyle w:val="6"/>
                <w:rFonts w:eastAsia="宋体"/>
                <w:szCs w:val="21"/>
              </w:rPr>
            </w:pPr>
            <w:r>
              <w:rPr>
                <w:rStyle w:val="6"/>
                <w:rFonts w:eastAsia="宋体"/>
                <w:szCs w:val="21"/>
              </w:rPr>
              <w:t>2、能够运用数理、基础化学、药学和工程科学的基本原理，结合文献研究，对复杂制药工程问题进行系统分析与科学论证，并获得有效结论。</w:t>
            </w: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881" w:type="dxa"/>
            <w:vAlign w:val="center"/>
          </w:tcPr>
          <w:p>
            <w:pPr>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6096" w:type="dxa"/>
            <w:vAlign w:val="center"/>
          </w:tcPr>
          <w:p>
            <w:pPr>
              <w:rPr>
                <w:rStyle w:val="6"/>
                <w:rFonts w:eastAsia="宋体"/>
                <w:szCs w:val="21"/>
              </w:rPr>
            </w:pPr>
            <w:r>
              <w:rPr>
                <w:rStyle w:val="6"/>
                <w:rFonts w:eastAsia="宋体"/>
                <w:szCs w:val="21"/>
              </w:rPr>
              <w:t>3、能够针对复杂制药工程问题，设计/开发具有创新理念的制药单元（部件）、系统及工艺流程，同时满足社会、健康、安全、法律、文化以及环境等要求。</w:t>
            </w: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881" w:type="dxa"/>
            <w:vAlign w:val="center"/>
          </w:tcPr>
          <w:p>
            <w:pPr>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096" w:type="dxa"/>
            <w:vAlign w:val="center"/>
          </w:tcPr>
          <w:p>
            <w:pPr>
              <w:rPr>
                <w:rStyle w:val="6"/>
                <w:rFonts w:eastAsia="宋体"/>
                <w:szCs w:val="21"/>
              </w:rPr>
            </w:pPr>
            <w:r>
              <w:rPr>
                <w:rStyle w:val="6"/>
                <w:rFonts w:eastAsia="宋体"/>
                <w:szCs w:val="21"/>
              </w:rPr>
              <w:t>4、能够运用科学原理和方法，依据复杂制药工程问题的对象特征进行调研，设计实验方案并有效实施，分析归纳实验结果，并通过信息综合得到有效结论。</w:t>
            </w: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881" w:type="dxa"/>
            <w:vAlign w:val="center"/>
          </w:tcPr>
          <w:p>
            <w:pPr>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096" w:type="dxa"/>
            <w:vAlign w:val="center"/>
          </w:tcPr>
          <w:p>
            <w:pPr>
              <w:rPr>
                <w:rStyle w:val="6"/>
                <w:rFonts w:eastAsia="宋体"/>
                <w:szCs w:val="21"/>
              </w:rPr>
            </w:pPr>
            <w:r>
              <w:rPr>
                <w:rStyle w:val="6"/>
                <w:rFonts w:eastAsia="宋体"/>
                <w:szCs w:val="21"/>
              </w:rPr>
              <w:t>5、使用现代工具：能够针对复杂制药工程问题，使用现代仪器、信息技术工具、工程工具和模拟软件进行分析、信息处理、过程模拟与预测，并能理解其局限性。</w:t>
            </w: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881" w:type="dxa"/>
            <w:vAlign w:val="center"/>
          </w:tcPr>
          <w:p>
            <w:pPr>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6096" w:type="dxa"/>
            <w:vAlign w:val="center"/>
          </w:tcPr>
          <w:p>
            <w:pPr>
              <w:rPr>
                <w:rStyle w:val="6"/>
                <w:rFonts w:eastAsia="宋体"/>
                <w:szCs w:val="21"/>
              </w:rPr>
            </w:pPr>
            <w:r>
              <w:rPr>
                <w:rStyle w:val="6"/>
                <w:rFonts w:eastAsia="宋体"/>
                <w:szCs w:val="21"/>
              </w:rPr>
              <w:t>6、</w:t>
            </w:r>
            <w:r>
              <w:rPr>
                <w:rStyle w:val="6"/>
                <w:rFonts w:eastAsia="宋体"/>
              </w:rPr>
              <w:t>能够根据工程项目的实施背景，针对复杂制药工程问题解决方案和工程实践，</w:t>
            </w:r>
            <w:r>
              <w:rPr>
                <w:rStyle w:val="6"/>
                <w:rFonts w:hint="eastAsia" w:eastAsia="宋体"/>
                <w:szCs w:val="21"/>
              </w:rPr>
              <w:t>合理分析与</w:t>
            </w:r>
            <w:r>
              <w:rPr>
                <w:rStyle w:val="6"/>
                <w:rFonts w:eastAsia="宋体"/>
              </w:rPr>
              <w:t>评价其对社会、健康、安全、法律以及文化的影响，并理解应承担的责任</w:t>
            </w:r>
            <w:r>
              <w:rPr>
                <w:rStyle w:val="6"/>
                <w:rFonts w:eastAsia="宋体"/>
                <w:szCs w:val="21"/>
              </w:rPr>
              <w:t>。</w:t>
            </w: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881" w:type="dxa"/>
            <w:vAlign w:val="center"/>
          </w:tcPr>
          <w:p>
            <w:pPr>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096" w:type="dxa"/>
            <w:vAlign w:val="center"/>
          </w:tcPr>
          <w:p>
            <w:pPr>
              <w:rPr>
                <w:rStyle w:val="6"/>
                <w:rFonts w:eastAsia="宋体"/>
                <w:szCs w:val="21"/>
              </w:rPr>
            </w:pPr>
            <w:r>
              <w:rPr>
                <w:rStyle w:val="6"/>
                <w:rFonts w:eastAsia="宋体"/>
                <w:szCs w:val="21"/>
              </w:rPr>
              <w:t>7、理解环境保护和可持续发展的理念与内涵，能够评价制药工程实践对环境和社会可持续发展的影响。</w:t>
            </w: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881" w:type="dxa"/>
            <w:vAlign w:val="center"/>
          </w:tcPr>
          <w:p>
            <w:pPr>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096" w:type="dxa"/>
            <w:vAlign w:val="center"/>
          </w:tcPr>
          <w:p>
            <w:pPr>
              <w:rPr>
                <w:rStyle w:val="6"/>
                <w:rFonts w:eastAsia="宋体"/>
                <w:szCs w:val="21"/>
              </w:rPr>
            </w:pPr>
            <w:r>
              <w:rPr>
                <w:rStyle w:val="6"/>
                <w:rFonts w:eastAsia="宋体"/>
                <w:szCs w:val="21"/>
              </w:rPr>
              <w:t>8、具有正确的价值观和良好的人文社会科学素养，能够在制药工程实践中理解并自觉遵守工程职业道德和规范，履行社会责任。</w:t>
            </w: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881" w:type="dxa"/>
            <w:vAlign w:val="center"/>
          </w:tcPr>
          <w:p>
            <w:pPr>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096" w:type="dxa"/>
            <w:vAlign w:val="center"/>
          </w:tcPr>
          <w:p>
            <w:pPr>
              <w:rPr>
                <w:rStyle w:val="6"/>
                <w:rFonts w:eastAsia="宋体"/>
                <w:szCs w:val="21"/>
              </w:rPr>
            </w:pPr>
            <w:r>
              <w:rPr>
                <w:rStyle w:val="6"/>
                <w:rFonts w:eastAsia="宋体"/>
                <w:szCs w:val="21"/>
              </w:rPr>
              <w:t>9、具有良好的团队协作精神，能够在多学科背景下的团队中合作共事，能够组织、协调、指挥团队开展工作。</w:t>
            </w: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881" w:type="dxa"/>
            <w:vAlign w:val="center"/>
          </w:tcPr>
          <w:p>
            <w:pPr>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096" w:type="dxa"/>
            <w:vAlign w:val="center"/>
          </w:tcPr>
          <w:p>
            <w:pPr>
              <w:rPr>
                <w:rStyle w:val="6"/>
                <w:rFonts w:eastAsia="宋体"/>
                <w:szCs w:val="21"/>
              </w:rPr>
            </w:pPr>
            <w:r>
              <w:rPr>
                <w:rStyle w:val="6"/>
                <w:rFonts w:eastAsia="宋体"/>
                <w:szCs w:val="21"/>
              </w:rPr>
              <w:t>10、具备国际视野，了解专业领域的国际发展趋势，能够就复杂制药工程问题与业界同行及社会公众进行有效沟通和交流。</w:t>
            </w: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881" w:type="dxa"/>
            <w:vAlign w:val="center"/>
          </w:tcPr>
          <w:p>
            <w:pPr>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6096" w:type="dxa"/>
            <w:vAlign w:val="center"/>
          </w:tcPr>
          <w:p>
            <w:pPr>
              <w:rPr>
                <w:rStyle w:val="6"/>
                <w:rFonts w:eastAsia="宋体"/>
                <w:szCs w:val="21"/>
              </w:rPr>
            </w:pPr>
            <w:r>
              <w:rPr>
                <w:rStyle w:val="6"/>
                <w:rFonts w:eastAsia="宋体"/>
                <w:szCs w:val="21"/>
              </w:rPr>
              <w:t>11、理解并掌握制药工程管理原理与经济决策方法，并能用于分析、论证制药工程问题的解决方案。</w:t>
            </w: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881" w:type="dxa"/>
            <w:vAlign w:val="center"/>
          </w:tcPr>
          <w:p>
            <w:pPr>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096" w:type="dxa"/>
            <w:vAlign w:val="center"/>
          </w:tcPr>
          <w:p>
            <w:pPr>
              <w:rPr>
                <w:rStyle w:val="6"/>
                <w:rFonts w:eastAsia="宋体"/>
                <w:szCs w:val="21"/>
              </w:rPr>
            </w:pPr>
            <w:r>
              <w:rPr>
                <w:rStyle w:val="6"/>
                <w:rFonts w:eastAsia="宋体"/>
                <w:szCs w:val="21"/>
              </w:rPr>
              <w:t>12、具有自主学习和终身学习的意识，了解拓展知识和能力的途径，具有自主学习和适应发展的能力。</w:t>
            </w: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567" w:type="dxa"/>
            <w:vAlign w:val="center"/>
          </w:tcPr>
          <w:p>
            <w:pPr>
              <w:jc w:val="center"/>
              <w:rPr>
                <w:rFonts w:eastAsia="宋体"/>
                <w:szCs w:val="21"/>
              </w:rPr>
            </w:pPr>
          </w:p>
        </w:tc>
        <w:tc>
          <w:tcPr>
            <w:tcW w:w="881" w:type="dxa"/>
            <w:vAlign w:val="center"/>
          </w:tcPr>
          <w:p>
            <w:pPr>
              <w:jc w:val="center"/>
              <w:rPr>
                <w:rFonts w:eastAsia="宋体"/>
                <w:szCs w:val="21"/>
              </w:rPr>
            </w:pPr>
          </w:p>
        </w:tc>
      </w:tr>
    </w:tbl>
    <w:p/>
    <w:p>
      <w:pPr>
        <w:spacing w:line="360" w:lineRule="auto"/>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A92627"/>
    <w:rsid w:val="39A92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line="360" w:lineRule="auto"/>
      <w:ind w:left="420" w:leftChars="200"/>
    </w:pPr>
    <w:rPr>
      <w:rFonts w:ascii="Times New Roman" w:hAnsi="Times New Roman" w:eastAsia="宋体" w:cs="Times New Roman"/>
      <w:kern w:val="0"/>
      <w:sz w:val="20"/>
    </w:rPr>
  </w:style>
  <w:style w:type="table" w:styleId="4">
    <w:name w:val="Table Grid"/>
    <w:basedOn w:val="3"/>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2021-03-29T06:03:00Z</dcterms:created>
  <dc:creator>user</dc:creator>
  <cp:lastModifiedBy>user</cp:lastModifiedBy>
  <dcterms:modified xsi:type="dcterms:W3CDTF">2021-03-29T06:03:33Z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B5C2200DD6A34BB3B7CF577D3AD8D077</vt:lpwstr>
  </property>
</Properties>
</file>